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F" w:rsidRPr="00947002" w:rsidRDefault="00947002" w:rsidP="00B2350F">
      <w:pPr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238375" cy="1200150"/>
            <wp:effectExtent l="0" t="0" r="0" b="0"/>
            <wp:wrapSquare wrapText="bothSides"/>
            <wp:docPr id="4" name="Image 4" descr="ac-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-dij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002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-152400</wp:posOffset>
            </wp:positionV>
            <wp:extent cx="1000760" cy="1543050"/>
            <wp:effectExtent l="19050" t="0" r="8890" b="0"/>
            <wp:wrapSquare wrapText="bothSides"/>
            <wp:docPr id="1" name="Image 1" descr="http://www.esst-inrs.fr/img/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t-inrs.fr/img/ma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20" w:rsidRPr="00947002">
        <w:rPr>
          <w:rFonts w:ascii="Arial Black" w:hAnsi="Arial Black" w:cs="Aharoni"/>
          <w:sz w:val="40"/>
          <w:szCs w:val="40"/>
        </w:rPr>
        <w:t xml:space="preserve">Fiche projet </w:t>
      </w:r>
    </w:p>
    <w:p w:rsidR="006F2CDE" w:rsidRPr="006E1BA7" w:rsidRDefault="006F2CDE" w:rsidP="00B2350F">
      <w:pPr>
        <w:jc w:val="center"/>
        <w:rPr>
          <w:rFonts w:cs="Aharoni"/>
          <w:sz w:val="40"/>
          <w:szCs w:val="40"/>
        </w:rPr>
      </w:pPr>
      <w:r w:rsidRPr="006E1BA7">
        <w:rPr>
          <w:rFonts w:cs="Aharoni"/>
          <w:sz w:val="40"/>
          <w:szCs w:val="40"/>
        </w:rPr>
        <w:t>« </w:t>
      </w:r>
      <w:r w:rsidR="006E1BA7" w:rsidRPr="006E1BA7">
        <w:rPr>
          <w:rFonts w:cs="Aharoni"/>
          <w:sz w:val="40"/>
          <w:szCs w:val="40"/>
        </w:rPr>
        <w:t>Prévention</w:t>
      </w:r>
      <w:r w:rsidR="00690720" w:rsidRPr="006E1BA7">
        <w:rPr>
          <w:rFonts w:cs="Aharoni"/>
          <w:sz w:val="40"/>
          <w:szCs w:val="40"/>
        </w:rPr>
        <w:t xml:space="preserve"> des risques professionnels</w:t>
      </w:r>
      <w:r w:rsidRPr="006E1BA7">
        <w:rPr>
          <w:rFonts w:cs="Aharoni"/>
          <w:sz w:val="40"/>
          <w:szCs w:val="40"/>
        </w:rPr>
        <w:t xml:space="preserve"> » </w:t>
      </w:r>
    </w:p>
    <w:p w:rsidR="00B2350F" w:rsidRPr="006E1BA7" w:rsidRDefault="00B2350F"/>
    <w:p w:rsidR="00B2350F" w:rsidRPr="006E1BA7" w:rsidRDefault="00B2350F">
      <w:pPr>
        <w:rPr>
          <w:b/>
          <w:color w:val="000000" w:themeColor="text1"/>
        </w:rPr>
      </w:pPr>
      <w:r w:rsidRPr="006E1BA7">
        <w:rPr>
          <w:b/>
          <w:color w:val="000000" w:themeColor="text1"/>
        </w:rPr>
        <w:t>Merci de co</w:t>
      </w:r>
      <w:r w:rsidR="007C66BE" w:rsidRPr="006E1BA7">
        <w:rPr>
          <w:b/>
          <w:color w:val="000000" w:themeColor="text1"/>
        </w:rPr>
        <w:t xml:space="preserve">mpléter le </w:t>
      </w:r>
      <w:r w:rsidR="009276DF">
        <w:rPr>
          <w:b/>
          <w:color w:val="000000" w:themeColor="text1"/>
        </w:rPr>
        <w:t>tableau</w:t>
      </w:r>
      <w:r w:rsidR="007C66BE" w:rsidRPr="006E1BA7">
        <w:rPr>
          <w:b/>
          <w:color w:val="000000" w:themeColor="text1"/>
        </w:rPr>
        <w:t xml:space="preserve"> ci-dessous</w:t>
      </w:r>
      <w:r w:rsidR="009276DF">
        <w:rPr>
          <w:b/>
          <w:color w:val="000000" w:themeColor="text1"/>
        </w:rPr>
        <w:t xml:space="preserve"> </w:t>
      </w:r>
      <w:r w:rsidR="007C66BE" w:rsidRPr="006E1BA7">
        <w:rPr>
          <w:b/>
          <w:color w:val="000000" w:themeColor="text1"/>
        </w:rPr>
        <w:t xml:space="preserve">et le retourner à </w:t>
      </w:r>
      <w:hyperlink r:id="rId8" w:history="1">
        <w:r w:rsidR="006E1BA7" w:rsidRPr="008940D1">
          <w:rPr>
            <w:rStyle w:val="Lienhypertexte"/>
            <w:b/>
          </w:rPr>
          <w:t>m-claude.relin@ac-dijon.fr</w:t>
        </w:r>
      </w:hyperlink>
      <w:r w:rsidR="006E1BA7">
        <w:rPr>
          <w:b/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0C013D" w:rsidTr="006E1BA7">
        <w:tc>
          <w:tcPr>
            <w:tcW w:w="3369" w:type="dxa"/>
            <w:shd w:val="clear" w:color="auto" w:fill="auto"/>
            <w:vAlign w:val="center"/>
          </w:tcPr>
          <w:p w:rsidR="000C013D" w:rsidRDefault="000C013D" w:rsidP="006E1BA7">
            <w:pPr>
              <w:rPr>
                <w:color w:val="403152" w:themeColor="accent4" w:themeShade="80"/>
              </w:rPr>
            </w:pPr>
          </w:p>
          <w:p w:rsidR="006E1BA7" w:rsidRDefault="009276DF" w:rsidP="006E1BA7">
            <w:pPr>
              <w:rPr>
                <w:color w:val="403152" w:themeColor="accent4" w:themeShade="80"/>
              </w:rPr>
            </w:pPr>
            <w:r w:rsidRPr="00AE6464">
              <w:rPr>
                <w:color w:val="403152" w:themeColor="accent4" w:themeShade="80"/>
              </w:rPr>
              <w:t>Établissement</w:t>
            </w:r>
          </w:p>
          <w:p w:rsidR="009276DF" w:rsidRPr="000C013D" w:rsidRDefault="009276DF" w:rsidP="006E1BA7">
            <w:pPr>
              <w:rPr>
                <w:color w:val="403152" w:themeColor="accent4" w:themeShade="80"/>
              </w:rPr>
            </w:pPr>
          </w:p>
        </w:tc>
        <w:tc>
          <w:tcPr>
            <w:tcW w:w="7087" w:type="dxa"/>
          </w:tcPr>
          <w:p w:rsidR="000C013D" w:rsidRDefault="000D6873">
            <w:r>
              <w:t>LYCEE JULIEN DE BALLEURE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Nom du projet</w:t>
            </w:r>
            <w:r w:rsidR="0097551B">
              <w:t>/action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0D6873">
            <w:r>
              <w:t>SENSIBILISATION RISQUES AUDITIFS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7C5C77" w:rsidP="006E1BA7">
            <w:r>
              <w:t>Objectif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0D6873" w:rsidP="000D6873">
            <w:r>
              <w:t>Sensibiliser les élèves de la filière CHAUDRONNERIE sur les risques auditifs en partenariat avec les élèves infirmières de l’IFSI de Chalon.</w:t>
            </w:r>
            <w:r w:rsidR="00275963">
              <w:t xml:space="preserve"> Vérifier la portée des messages de prévention donnés aux élèves dans le cadre de leur formation.</w:t>
            </w:r>
          </w:p>
        </w:tc>
      </w:tr>
      <w:tr w:rsidR="007C5C77" w:rsidTr="006E1BA7">
        <w:tc>
          <w:tcPr>
            <w:tcW w:w="3369" w:type="dxa"/>
            <w:vAlign w:val="center"/>
          </w:tcPr>
          <w:p w:rsidR="009276DF" w:rsidRDefault="009276DF" w:rsidP="006E1BA7"/>
          <w:p w:rsidR="009276DF" w:rsidRDefault="009276DF" w:rsidP="006E1BA7"/>
          <w:p w:rsidR="007C5C77" w:rsidRDefault="007C5C77" w:rsidP="006E1BA7">
            <w:r>
              <w:t>Descriptif du projet</w:t>
            </w:r>
          </w:p>
          <w:p w:rsidR="007C5C77" w:rsidRDefault="007C5C77" w:rsidP="006E1BA7"/>
          <w:p w:rsidR="007C5C77" w:rsidRDefault="007C5C77" w:rsidP="006E1BA7"/>
        </w:tc>
        <w:tc>
          <w:tcPr>
            <w:tcW w:w="7087" w:type="dxa"/>
          </w:tcPr>
          <w:p w:rsidR="007C5C77" w:rsidRDefault="00275963">
            <w:r>
              <w:t>Les élèves de l’IFSI sont intervenues 2 fois dans l’année. Pour chacune de leurs interventions, une préparation a été faite avec le DDFPT pour affiner et centrer les interventions.</w:t>
            </w:r>
          </w:p>
          <w:p w:rsidR="00275963" w:rsidRPr="00275963" w:rsidRDefault="00275963" w:rsidP="005D3355">
            <w:pPr>
              <w:pStyle w:val="Paragraphedeliste"/>
              <w:numPr>
                <w:ilvl w:val="0"/>
                <w:numId w:val="2"/>
              </w:numPr>
              <w:ind w:left="317" w:hanging="284"/>
              <w:jc w:val="both"/>
              <w:rPr>
                <w:b/>
              </w:rPr>
            </w:pPr>
            <w:r w:rsidRPr="00275963">
              <w:rPr>
                <w:b/>
              </w:rPr>
              <w:t xml:space="preserve">Enquête auprès des élèves : </w:t>
            </w:r>
          </w:p>
          <w:p w:rsidR="00275963" w:rsidRPr="00275963" w:rsidRDefault="00275963" w:rsidP="005D3355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275963">
              <w:t>Recueillir les connaissances de chacun en matière de prévention.</w:t>
            </w:r>
          </w:p>
          <w:p w:rsidR="00275963" w:rsidRPr="00275963" w:rsidRDefault="00275963" w:rsidP="005D3355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275963">
              <w:t>Leur faire évoquer leurs comportements à risque s’ils en ont.</w:t>
            </w:r>
          </w:p>
          <w:p w:rsidR="00275963" w:rsidRPr="00275963" w:rsidRDefault="00275963" w:rsidP="005D3355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275963">
              <w:t xml:space="preserve">Comprendre pourquoi ils n’agissent pas en fonction de leurs connaissances, s’ils ont un comportement à risque </w:t>
            </w:r>
          </w:p>
          <w:p w:rsidR="005D3355" w:rsidRDefault="005D3355" w:rsidP="005D3355">
            <w:pPr>
              <w:pStyle w:val="Paragraphedeliste"/>
              <w:numPr>
                <w:ilvl w:val="0"/>
                <w:numId w:val="2"/>
              </w:numPr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Intervention dans les classes :</w:t>
            </w:r>
          </w:p>
          <w:p w:rsidR="005D3355" w:rsidRPr="005D3355" w:rsidRDefault="005D3355" w:rsidP="005D3355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5D3355">
              <w:t>Etape 1 : apports théoriques sur le fonctionnement de l'oreille et la perte de l'audition</w:t>
            </w:r>
          </w:p>
          <w:p w:rsidR="005D3355" w:rsidRPr="005D3355" w:rsidRDefault="005D3355" w:rsidP="005D3355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5D3355">
              <w:t>Etape 2 : jeu -&gt; échelle des d</w:t>
            </w:r>
            <w:r w:rsidR="002736D2">
              <w:t>B</w:t>
            </w:r>
            <w:r w:rsidRPr="005D3355">
              <w:t xml:space="preserve"> (0 à 160) avec des vignettes des machines utilisées en formation professionnelle qu'il faudra replacer en fonction de leur niveau sonore ainsi qu'une explication de l'écoute prolongée</w:t>
            </w:r>
            <w:r>
              <w:t xml:space="preserve"> – mesure du niveau sonore avec un sonomètre</w:t>
            </w:r>
          </w:p>
          <w:p w:rsidR="005D3355" w:rsidRPr="005D3355" w:rsidRDefault="005D3355" w:rsidP="005D3355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5D3355">
              <w:t>Etape 3 : jeu avec un casque (simulateur d'acouphènes si autorisation de l'IFSI)</w:t>
            </w:r>
          </w:p>
          <w:p w:rsidR="00275963" w:rsidRDefault="005D3355" w:rsidP="005D3355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5D3355">
              <w:t>Etape 4 : vidéo avec témoignages</w:t>
            </w:r>
          </w:p>
        </w:tc>
      </w:tr>
      <w:tr w:rsidR="00690720" w:rsidRPr="005D3355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Public concerné</w:t>
            </w:r>
          </w:p>
          <w:p w:rsidR="00AE6464" w:rsidRDefault="00AE6464" w:rsidP="006E1BA7">
            <w:r>
              <w:t>(nombre, diplôme préparé)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Pr="005D3355" w:rsidRDefault="005D3355">
            <w:pPr>
              <w:rPr>
                <w:lang w:val="en-US"/>
              </w:rPr>
            </w:pPr>
            <w:r w:rsidRPr="005D3355">
              <w:rPr>
                <w:lang w:val="en-US"/>
              </w:rPr>
              <w:t>CAP RICS</w:t>
            </w:r>
          </w:p>
          <w:p w:rsidR="005D3355" w:rsidRPr="005D3355" w:rsidRDefault="005D3355">
            <w:pPr>
              <w:rPr>
                <w:lang w:val="en-US"/>
              </w:rPr>
            </w:pPr>
            <w:r w:rsidRPr="005D3355">
              <w:rPr>
                <w:lang w:val="en-US"/>
              </w:rPr>
              <w:t>BAC PRO TCI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Pr="005D3355" w:rsidRDefault="009276DF" w:rsidP="006E1BA7">
            <w:pPr>
              <w:rPr>
                <w:lang w:val="en-US"/>
              </w:rPr>
            </w:pPr>
          </w:p>
          <w:p w:rsidR="00AE6464" w:rsidRDefault="00AE6464" w:rsidP="006E1BA7">
            <w:r>
              <w:t>Personnes référentes</w:t>
            </w:r>
          </w:p>
          <w:p w:rsidR="00C924D0" w:rsidRDefault="00C924D0" w:rsidP="006E1BA7"/>
        </w:tc>
        <w:tc>
          <w:tcPr>
            <w:tcW w:w="7087" w:type="dxa"/>
          </w:tcPr>
          <w:p w:rsidR="00690720" w:rsidRDefault="005D3355">
            <w:r>
              <w:t>DDFPT- R.MARICQ</w:t>
            </w:r>
          </w:p>
        </w:tc>
      </w:tr>
      <w:tr w:rsidR="0097551B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97551B" w:rsidP="006E1BA7">
            <w:r>
              <w:t>Cette action s’inclut-elle</w:t>
            </w:r>
          </w:p>
          <w:p w:rsidR="0097551B" w:rsidRDefault="0097551B" w:rsidP="006E1BA7">
            <w:r>
              <w:t>dans le projet d’établissement ?</w:t>
            </w:r>
          </w:p>
          <w:p w:rsidR="0097551B" w:rsidRDefault="0097551B" w:rsidP="006E1BA7"/>
        </w:tc>
        <w:tc>
          <w:tcPr>
            <w:tcW w:w="7087" w:type="dxa"/>
          </w:tcPr>
          <w:p w:rsidR="0097551B" w:rsidRDefault="005D3355">
            <w:r>
              <w:t xml:space="preserve">Le projet d’établissement est en cours de </w:t>
            </w:r>
            <w:proofErr w:type="spellStart"/>
            <w:r>
              <w:t>ré-éc</w:t>
            </w:r>
            <w:bookmarkStart w:id="0" w:name="_GoBack"/>
            <w:bookmarkEnd w:id="0"/>
            <w:r>
              <w:t>riture</w:t>
            </w:r>
            <w:proofErr w:type="spellEnd"/>
            <w:r>
              <w:t>, mais la volonté de l’équipe de direction est de développer une culture sécurité pour les personnels et les élèves.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97551B" w:rsidRDefault="0097551B" w:rsidP="006E1BA7">
            <w:r>
              <w:t>Calendrier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690720"/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Moyens mis en œuvre</w:t>
            </w:r>
          </w:p>
          <w:p w:rsidR="00B2350F" w:rsidRDefault="00B2350F" w:rsidP="006E1BA7"/>
        </w:tc>
        <w:tc>
          <w:tcPr>
            <w:tcW w:w="7087" w:type="dxa"/>
          </w:tcPr>
          <w:p w:rsidR="005D3355" w:rsidRDefault="005D3355"/>
          <w:p w:rsidR="005D3355" w:rsidRDefault="005D3355"/>
          <w:p w:rsidR="005D3355" w:rsidRDefault="005D3355"/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Frein et levier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5D3355">
            <w:r>
              <w:t>aucun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9276DF" w:rsidP="006E1BA7">
            <w:r>
              <w:t>Évaluation</w:t>
            </w:r>
            <w:r w:rsidR="00690720">
              <w:t xml:space="preserve"> du projet</w:t>
            </w:r>
          </w:p>
          <w:p w:rsidR="00AE6464" w:rsidRDefault="00AE6464" w:rsidP="006E1BA7">
            <w:r>
              <w:t>(si c’était à refaire…</w:t>
            </w:r>
          </w:p>
          <w:p w:rsidR="00B2350F" w:rsidRDefault="007C66BE" w:rsidP="006E1BA7">
            <w:r>
              <w:t>pistes</w:t>
            </w:r>
            <w:r w:rsidR="00AE6464">
              <w:t xml:space="preserve"> d’amélioration…)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5D3355">
            <w:r>
              <w:t>Prévoir un retour plus tôt du projet par les élèves de l’IFSI. Calendrier à cadrer en début d’année.</w:t>
            </w:r>
          </w:p>
        </w:tc>
      </w:tr>
    </w:tbl>
    <w:p w:rsidR="00690720" w:rsidRDefault="00690720"/>
    <w:sectPr w:rsidR="00690720" w:rsidSect="005D335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6F"/>
    <w:multiLevelType w:val="hybridMultilevel"/>
    <w:tmpl w:val="C68212AC"/>
    <w:lvl w:ilvl="0" w:tplc="F8125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62C"/>
    <w:multiLevelType w:val="hybridMultilevel"/>
    <w:tmpl w:val="93A0D4CA"/>
    <w:lvl w:ilvl="0" w:tplc="F8125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82290"/>
    <w:multiLevelType w:val="hybridMultilevel"/>
    <w:tmpl w:val="68D2D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311EC"/>
    <w:multiLevelType w:val="hybridMultilevel"/>
    <w:tmpl w:val="5164BDF2"/>
    <w:lvl w:ilvl="0" w:tplc="F8125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673A"/>
    <w:multiLevelType w:val="hybridMultilevel"/>
    <w:tmpl w:val="E6E0D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0"/>
    <w:rsid w:val="000C013D"/>
    <w:rsid w:val="000D6873"/>
    <w:rsid w:val="001B007B"/>
    <w:rsid w:val="00256693"/>
    <w:rsid w:val="002719F1"/>
    <w:rsid w:val="002736D2"/>
    <w:rsid w:val="00275963"/>
    <w:rsid w:val="00295CA5"/>
    <w:rsid w:val="00565403"/>
    <w:rsid w:val="005D3355"/>
    <w:rsid w:val="00690720"/>
    <w:rsid w:val="006E1BA7"/>
    <w:rsid w:val="006F2CDE"/>
    <w:rsid w:val="007B087F"/>
    <w:rsid w:val="007C5C77"/>
    <w:rsid w:val="007C66BE"/>
    <w:rsid w:val="0086438E"/>
    <w:rsid w:val="00867FAC"/>
    <w:rsid w:val="009276DF"/>
    <w:rsid w:val="00947002"/>
    <w:rsid w:val="0097551B"/>
    <w:rsid w:val="00A80BE6"/>
    <w:rsid w:val="00AE6464"/>
    <w:rsid w:val="00B2350F"/>
    <w:rsid w:val="00C924D0"/>
    <w:rsid w:val="00D0012C"/>
    <w:rsid w:val="00D47253"/>
    <w:rsid w:val="00EB22D1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claude.relin@ac-dijo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marie RELIN</cp:lastModifiedBy>
  <cp:revision>3</cp:revision>
  <dcterms:created xsi:type="dcterms:W3CDTF">2018-06-26T16:55:00Z</dcterms:created>
  <dcterms:modified xsi:type="dcterms:W3CDTF">2018-07-06T16:15:00Z</dcterms:modified>
</cp:coreProperties>
</file>